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BF" w:rsidRPr="00266B58" w:rsidRDefault="00061BBF" w:rsidP="00061BBF">
      <w:pPr>
        <w:jc w:val="right"/>
        <w:rPr>
          <w:rFonts w:ascii="Cambria" w:hAnsi="Cambria" w:cs="Tahoma"/>
          <w:sz w:val="20"/>
          <w:szCs w:val="20"/>
        </w:rPr>
      </w:pPr>
      <w:r w:rsidRPr="00266B58">
        <w:rPr>
          <w:rFonts w:ascii="Cambria" w:hAnsi="Cambria" w:cs="Tahoma"/>
          <w:sz w:val="20"/>
          <w:szCs w:val="20"/>
        </w:rPr>
        <w:t>ZAŁĄCZNIK NR 6</w:t>
      </w:r>
    </w:p>
    <w:p w:rsidR="00061BBF" w:rsidRPr="00266B58" w:rsidRDefault="00061BBF" w:rsidP="00061BBF">
      <w:pPr>
        <w:rPr>
          <w:rFonts w:ascii="Cambria" w:hAnsi="Cambria" w:cs="Tahoma"/>
          <w:sz w:val="20"/>
          <w:szCs w:val="20"/>
        </w:rPr>
      </w:pPr>
    </w:p>
    <w:p w:rsidR="00061BBF" w:rsidRPr="00266B58" w:rsidRDefault="00061BBF" w:rsidP="00061BBF">
      <w:pPr>
        <w:rPr>
          <w:rFonts w:ascii="Cambria" w:hAnsi="Cambria" w:cs="Tahoma"/>
          <w:sz w:val="20"/>
          <w:szCs w:val="20"/>
        </w:rPr>
      </w:pPr>
    </w:p>
    <w:p w:rsidR="00061BBF" w:rsidRPr="00020372" w:rsidRDefault="00061BBF" w:rsidP="00061BBF">
      <w:pPr>
        <w:jc w:val="center"/>
        <w:rPr>
          <w:rFonts w:ascii="Cambria" w:hAnsi="Cambria" w:cs="Tahoma"/>
          <w:b/>
        </w:rPr>
      </w:pPr>
      <w:r w:rsidRPr="00020372">
        <w:rPr>
          <w:rFonts w:ascii="Cambria" w:hAnsi="Cambria" w:cs="Tahoma"/>
          <w:b/>
        </w:rPr>
        <w:t>OPIS PRZEDMIOTU ZAMÓWIENIA ZADANIE 1</w:t>
      </w:r>
    </w:p>
    <w:p w:rsidR="00061BBF" w:rsidRPr="00266B58" w:rsidRDefault="00061BBF" w:rsidP="00061BBF">
      <w:pPr>
        <w:rPr>
          <w:rFonts w:ascii="Cambria" w:hAnsi="Cambria" w:cs="Tahoma"/>
          <w:sz w:val="20"/>
          <w:szCs w:val="20"/>
        </w:rPr>
      </w:pPr>
    </w:p>
    <w:p w:rsidR="00061BBF" w:rsidRPr="00266B58" w:rsidRDefault="00061BBF" w:rsidP="00061BBF">
      <w:pPr>
        <w:numPr>
          <w:ilvl w:val="0"/>
          <w:numId w:val="40"/>
        </w:numPr>
        <w:rPr>
          <w:rFonts w:ascii="Cambria" w:hAnsi="Cambria" w:cs="Tahoma"/>
          <w:sz w:val="20"/>
          <w:szCs w:val="20"/>
        </w:rPr>
      </w:pPr>
      <w:r w:rsidRPr="00266B58">
        <w:rPr>
          <w:rFonts w:ascii="Cambria" w:hAnsi="Cambria" w:cs="Tahoma"/>
          <w:sz w:val="20"/>
          <w:szCs w:val="20"/>
        </w:rPr>
        <w:t>PRZEDMIOT PRZETARGU: Dostawa komputerów osobistych typu laptop 69 sztuk</w:t>
      </w:r>
    </w:p>
    <w:p w:rsidR="00061BBF" w:rsidRPr="00266B58" w:rsidRDefault="00061BBF" w:rsidP="00061BBF">
      <w:pPr>
        <w:rPr>
          <w:rFonts w:ascii="Cambria" w:hAnsi="Cambria" w:cs="Tahoma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732"/>
        <w:gridCol w:w="6340"/>
      </w:tblGrid>
      <w:tr w:rsidR="00061BBF" w:rsidRPr="00266B58" w:rsidTr="002E36BD">
        <w:tc>
          <w:tcPr>
            <w:tcW w:w="851" w:type="dxa"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69 szt.</w:t>
            </w:r>
          </w:p>
        </w:tc>
        <w:tc>
          <w:tcPr>
            <w:tcW w:w="2732" w:type="dxa"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Nazwa podzespołu/ parametry</w:t>
            </w:r>
          </w:p>
        </w:tc>
        <w:tc>
          <w:tcPr>
            <w:tcW w:w="6340" w:type="dxa"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Opis minimalnych wymagań</w:t>
            </w:r>
          </w:p>
        </w:tc>
      </w:tr>
      <w:tr w:rsidR="00061BBF" w:rsidRPr="00266B58" w:rsidTr="002E36BD">
        <w:tc>
          <w:tcPr>
            <w:tcW w:w="851" w:type="dxa"/>
            <w:vMerge w:val="restart"/>
            <w:textDirection w:val="btLr"/>
            <w:vAlign w:val="center"/>
          </w:tcPr>
          <w:p w:rsidR="00061BBF" w:rsidRPr="00266B58" w:rsidRDefault="00061BBF" w:rsidP="002E36B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KOMPUTER</w:t>
            </w: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Komputer typu laptop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Procesor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zgodny z architekturą minimum x86 lub x64</w:t>
            </w:r>
          </w:p>
          <w:p w:rsidR="00061BBF" w:rsidRPr="00266B58" w:rsidRDefault="00061BBF" w:rsidP="009D134C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 xml:space="preserve">- Procesor dwurdzeniowy uzyskujący wynik co najmniej 3035 punktów w teście </w:t>
            </w:r>
            <w:proofErr w:type="spellStart"/>
            <w:r w:rsidRPr="00266B58">
              <w:rPr>
                <w:rFonts w:ascii="Cambria" w:hAnsi="Cambria"/>
                <w:sz w:val="20"/>
                <w:szCs w:val="20"/>
              </w:rPr>
              <w:t>Passmark</w:t>
            </w:r>
            <w:proofErr w:type="spellEnd"/>
            <w:r w:rsidRPr="00266B58">
              <w:rPr>
                <w:rFonts w:ascii="Cambria" w:hAnsi="Cambria"/>
                <w:sz w:val="20"/>
                <w:szCs w:val="20"/>
              </w:rPr>
              <w:t xml:space="preserve"> - CPU Mark według wyników procesorów publikowanych na stronie </w:t>
            </w:r>
            <w:hyperlink r:id="rId12" w:history="1">
              <w:r w:rsidRPr="00266B58">
                <w:rPr>
                  <w:rStyle w:val="Hipercze"/>
                  <w:rFonts w:ascii="Cambria" w:hAnsi="Cambria"/>
                  <w:sz w:val="20"/>
                  <w:szCs w:val="20"/>
                </w:rPr>
                <w:t>http://www.cpubenchmark.net/cpu_list.php</w:t>
              </w:r>
            </w:hyperlink>
            <w:r w:rsidRPr="00266B58">
              <w:rPr>
                <w:rFonts w:ascii="Cambria" w:hAnsi="Cambria"/>
                <w:sz w:val="20"/>
                <w:szCs w:val="20"/>
              </w:rPr>
              <w:t xml:space="preserve"> (na dzień nie wcześniejszy niż 01.09.2016). </w:t>
            </w:r>
            <w:r w:rsidR="009D134C">
              <w:rPr>
                <w:rFonts w:ascii="Cambria" w:hAnsi="Cambria"/>
                <w:sz w:val="20"/>
                <w:szCs w:val="20"/>
              </w:rPr>
              <w:t>Przed podpisaniem umowy</w:t>
            </w:r>
            <w:r w:rsidRPr="00266B58">
              <w:rPr>
                <w:rFonts w:ascii="Cambria" w:hAnsi="Cambria"/>
                <w:sz w:val="20"/>
                <w:szCs w:val="20"/>
              </w:rPr>
              <w:t xml:space="preserve"> wymagane podanie producenta i modelu procesora. </w:t>
            </w:r>
            <w:r w:rsidR="009D134C">
              <w:rPr>
                <w:rFonts w:ascii="Cambria" w:hAnsi="Cambria"/>
                <w:sz w:val="20"/>
                <w:szCs w:val="20"/>
              </w:rPr>
              <w:t>Przed podpisaniem umowy</w:t>
            </w:r>
            <w:r w:rsidRPr="00266B58">
              <w:rPr>
                <w:rFonts w:ascii="Cambria" w:hAnsi="Cambria"/>
                <w:sz w:val="20"/>
                <w:szCs w:val="20"/>
              </w:rPr>
              <w:t xml:space="preserve"> należy załączyć wydruk ze strony potwierdzający ww. wynik.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Ekran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Minimum 14” TFT LED HD o rozdzielczości 1366x768, z powłoką matową, nie dopuszcza się matryc typu "</w:t>
            </w:r>
            <w:proofErr w:type="spellStart"/>
            <w:r w:rsidRPr="00266B58">
              <w:rPr>
                <w:rFonts w:ascii="Cambria" w:hAnsi="Cambria"/>
                <w:sz w:val="20"/>
                <w:szCs w:val="20"/>
              </w:rPr>
              <w:t>glare</w:t>
            </w:r>
            <w:proofErr w:type="spellEnd"/>
            <w:r w:rsidRPr="00266B58">
              <w:rPr>
                <w:rFonts w:ascii="Cambria" w:hAnsi="Cambria"/>
                <w:sz w:val="20"/>
                <w:szCs w:val="20"/>
              </w:rPr>
              <w:t>".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 xml:space="preserve">Płyta główna 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Porty/złącza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(wbudowane)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- 1 x Złącze RJ-45 (podłączenie sieci lokalnej)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- 1 x Czytnik Kart pamięci SD™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 xml:space="preserve">- 2 x USB 3.0, (1 port z możliwością ładowania przy wyłączonym notebooku) 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266B58">
              <w:rPr>
                <w:rFonts w:ascii="Cambria" w:hAnsi="Cambria"/>
                <w:sz w:val="20"/>
                <w:szCs w:val="20"/>
                <w:lang w:val="en-US"/>
              </w:rPr>
              <w:t xml:space="preserve">- 1 x USB 2.0, 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266B58">
              <w:rPr>
                <w:rFonts w:ascii="Cambria" w:hAnsi="Cambria"/>
                <w:sz w:val="20"/>
                <w:szCs w:val="20"/>
                <w:lang w:val="en-US"/>
              </w:rPr>
              <w:t>- 1 x VGA (D-Sub),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- 1 x Gniazdo mikrofonowe/Gniazdo słuchawkowe (Combo)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- 1 x HDMI ze wsparciem HDCP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 xml:space="preserve">- 1 x zasilanie </w:t>
            </w:r>
            <w:proofErr w:type="spellStart"/>
            <w:r w:rsidRPr="00266B58">
              <w:rPr>
                <w:rFonts w:ascii="Cambria" w:hAnsi="Cambria"/>
                <w:sz w:val="20"/>
                <w:szCs w:val="20"/>
              </w:rPr>
              <w:t>DC-in</w:t>
            </w:r>
            <w:proofErr w:type="spellEnd"/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Pamięć RAM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 xml:space="preserve">- minimum 1x 4GB DDR3L </w:t>
            </w:r>
            <w:proofErr w:type="spellStart"/>
            <w:r w:rsidRPr="00266B58">
              <w:rPr>
                <w:rFonts w:ascii="Cambria" w:hAnsi="Cambria"/>
                <w:sz w:val="20"/>
                <w:szCs w:val="20"/>
              </w:rPr>
              <w:t>Mhz</w:t>
            </w:r>
            <w:proofErr w:type="spellEnd"/>
            <w:r w:rsidRPr="00266B58">
              <w:rPr>
                <w:rFonts w:ascii="Cambria" w:hAnsi="Cambria"/>
                <w:sz w:val="20"/>
                <w:szCs w:val="20"/>
              </w:rPr>
              <w:t xml:space="preserve"> (pamięć RAM rozszerzalna do 16GB). 1 slot wolny.</w:t>
            </w:r>
          </w:p>
        </w:tc>
      </w:tr>
      <w:tr w:rsidR="00061BBF" w:rsidRPr="00266B58" w:rsidTr="002E36BD">
        <w:trPr>
          <w:trHeight w:val="196"/>
        </w:trPr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Dysk twardy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 w:cs="Tahoma"/>
                <w:color w:val="FF0000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minimum 500 GB HDD lub 128 GB SSD</w:t>
            </w:r>
            <w:r w:rsidRPr="00266B58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 xml:space="preserve">Napęd 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 xml:space="preserve">- 8x DVD +/- RW Super Multi Dual </w:t>
            </w:r>
            <w:proofErr w:type="spellStart"/>
            <w:r w:rsidRPr="00266B58">
              <w:rPr>
                <w:rFonts w:ascii="Cambria" w:hAnsi="Cambria"/>
                <w:sz w:val="20"/>
                <w:szCs w:val="20"/>
              </w:rPr>
              <w:t>Layer</w:t>
            </w:r>
            <w:proofErr w:type="spellEnd"/>
            <w:r w:rsidRPr="00266B58">
              <w:rPr>
                <w:rFonts w:ascii="Cambria" w:hAnsi="Cambria"/>
                <w:sz w:val="20"/>
                <w:szCs w:val="20"/>
              </w:rPr>
              <w:t xml:space="preserve"> wewnętrzny (z oprogramowaniem do nagrywania płyt DVD oraz odtwarzania płyt DVD Video).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Kamera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Wbudowana, HD o rozdzielczości</w:t>
            </w:r>
            <w:r w:rsidRPr="00266B58">
              <w:rPr>
                <w:rFonts w:ascii="Cambria" w:hAnsi="Cambria" w:cs="Tahoma"/>
                <w:sz w:val="20"/>
                <w:szCs w:val="20"/>
              </w:rPr>
              <w:t xml:space="preserve"> 1280x720, 720p HD audio/video 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Karta grafiki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Karta graficzna zintegrowana z płytą główną lub procesorem.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 xml:space="preserve">Z możliwością dynamicznego przydzielenia pamięci w obrębie pamięci systemowej. Sprzętowe wsparcie dla technologii </w:t>
            </w:r>
            <w:proofErr w:type="spellStart"/>
            <w:r w:rsidRPr="00266B58">
              <w:rPr>
                <w:rFonts w:ascii="Cambria" w:hAnsi="Cambria"/>
                <w:sz w:val="20"/>
                <w:szCs w:val="20"/>
              </w:rPr>
              <w:t>DirectX</w:t>
            </w:r>
            <w:proofErr w:type="spellEnd"/>
            <w:r w:rsidRPr="00266B58">
              <w:rPr>
                <w:rFonts w:ascii="Cambria" w:hAnsi="Cambria"/>
                <w:sz w:val="20"/>
                <w:szCs w:val="20"/>
              </w:rPr>
              <w:t xml:space="preserve"> 12, </w:t>
            </w:r>
            <w:proofErr w:type="spellStart"/>
            <w:r w:rsidRPr="00266B58">
              <w:rPr>
                <w:rFonts w:ascii="Cambria" w:hAnsi="Cambria"/>
                <w:sz w:val="20"/>
                <w:szCs w:val="20"/>
              </w:rPr>
              <w:t>Open</w:t>
            </w:r>
            <w:proofErr w:type="spellEnd"/>
            <w:r w:rsidRPr="00266B58">
              <w:rPr>
                <w:rFonts w:ascii="Cambria" w:hAnsi="Cambria"/>
                <w:sz w:val="20"/>
                <w:szCs w:val="20"/>
              </w:rPr>
              <w:t xml:space="preserve"> GL4.4. </w:t>
            </w:r>
          </w:p>
          <w:p w:rsidR="00061BBF" w:rsidRPr="00266B58" w:rsidRDefault="00061BBF" w:rsidP="009D134C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 xml:space="preserve">- Karta graficzna musi osiągać w teście wydajności </w:t>
            </w:r>
            <w:proofErr w:type="spellStart"/>
            <w:r w:rsidRPr="00266B58">
              <w:rPr>
                <w:rFonts w:ascii="Cambria" w:hAnsi="Cambria"/>
                <w:sz w:val="20"/>
                <w:szCs w:val="20"/>
              </w:rPr>
              <w:t>PassMark</w:t>
            </w:r>
            <w:proofErr w:type="spellEnd"/>
            <w:r w:rsidRPr="00266B58">
              <w:rPr>
                <w:rFonts w:ascii="Cambria" w:hAnsi="Cambria"/>
                <w:sz w:val="20"/>
                <w:szCs w:val="20"/>
              </w:rPr>
              <w:t xml:space="preserve"> - Video </w:t>
            </w:r>
            <w:proofErr w:type="spellStart"/>
            <w:r w:rsidRPr="00266B58">
              <w:rPr>
                <w:rFonts w:ascii="Cambria" w:hAnsi="Cambria"/>
                <w:sz w:val="20"/>
                <w:szCs w:val="20"/>
              </w:rPr>
              <w:t>Card</w:t>
            </w:r>
            <w:proofErr w:type="spellEnd"/>
            <w:r w:rsidRPr="00266B58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66B58">
              <w:rPr>
                <w:rFonts w:ascii="Cambria" w:hAnsi="Cambria"/>
                <w:sz w:val="20"/>
                <w:szCs w:val="20"/>
              </w:rPr>
              <w:t>Benchmarks</w:t>
            </w:r>
            <w:proofErr w:type="spellEnd"/>
            <w:r w:rsidRPr="00266B58">
              <w:rPr>
                <w:rFonts w:ascii="Cambria" w:hAnsi="Cambria"/>
                <w:sz w:val="20"/>
                <w:szCs w:val="20"/>
              </w:rPr>
              <w:t xml:space="preserve"> wyniki min. 595 punktów. </w:t>
            </w:r>
            <w:r w:rsidR="009D134C">
              <w:rPr>
                <w:rFonts w:ascii="Cambria" w:hAnsi="Cambria"/>
                <w:sz w:val="20"/>
                <w:szCs w:val="20"/>
              </w:rPr>
              <w:t>Przed podpisaniem</w:t>
            </w:r>
            <w:r w:rsidRPr="00266B58">
              <w:rPr>
                <w:rFonts w:ascii="Cambria" w:hAnsi="Cambria"/>
                <w:sz w:val="20"/>
                <w:szCs w:val="20"/>
              </w:rPr>
              <w:t xml:space="preserve"> należy załączyć wydruk ze strony: </w:t>
            </w:r>
            <w:hyperlink r:id="rId13" w:history="1">
              <w:r w:rsidRPr="00266B58">
                <w:rPr>
                  <w:rStyle w:val="Hipercze"/>
                  <w:rFonts w:ascii="Cambria" w:hAnsi="Cambria"/>
                  <w:sz w:val="20"/>
                  <w:szCs w:val="20"/>
                </w:rPr>
                <w:t>http://www.videocardbenchmark.net/gpu_list.php</w:t>
              </w:r>
            </w:hyperlink>
            <w:r w:rsidRPr="00266B58">
              <w:rPr>
                <w:rFonts w:ascii="Cambria" w:hAnsi="Cambria"/>
                <w:sz w:val="20"/>
                <w:szCs w:val="20"/>
              </w:rPr>
              <w:t xml:space="preserve"> potwierdzający spełnienie wymogów SIWZ. (wynik od 01.09.2016 do dnia składnia ofert). </w:t>
            </w:r>
          </w:p>
        </w:tc>
      </w:tr>
      <w:tr w:rsidR="00061BBF" w:rsidRPr="009D134C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Karta sieciowa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Karta sieciowa LAN 10/100/1000 Ethernet RJ 45 (WOL)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color w:val="FF0000"/>
                <w:sz w:val="20"/>
                <w:szCs w:val="20"/>
                <w:lang w:val="en-US"/>
              </w:rPr>
            </w:pPr>
            <w:r w:rsidRPr="00266B58">
              <w:rPr>
                <w:rFonts w:ascii="Cambria" w:hAnsi="Cambria"/>
                <w:sz w:val="20"/>
                <w:szCs w:val="20"/>
                <w:lang w:val="en-US"/>
              </w:rPr>
              <w:t xml:space="preserve">- WLAN 802.11 AC </w:t>
            </w:r>
            <w:proofErr w:type="spellStart"/>
            <w:r w:rsidRPr="00266B58">
              <w:rPr>
                <w:rFonts w:ascii="Cambria" w:hAnsi="Cambria"/>
                <w:sz w:val="20"/>
                <w:szCs w:val="20"/>
                <w:lang w:val="en-US"/>
              </w:rPr>
              <w:t>wraz</w:t>
            </w:r>
            <w:proofErr w:type="spellEnd"/>
            <w:r w:rsidRPr="00266B58">
              <w:rPr>
                <w:rFonts w:ascii="Cambria" w:hAnsi="Cambria"/>
                <w:sz w:val="20"/>
                <w:szCs w:val="20"/>
                <w:lang w:val="en-US"/>
              </w:rPr>
              <w:t xml:space="preserve"> z Bluetooth 4.0 COMBO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System operacyjny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System operacyjny klasy PC musi spełniać następujące wymagania poprzez wbudowane mechanizmy, bez użycia dodatkowych aplikacji: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1. Dostępne dwa rodzaje graficznego interfejsu użytkownika: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a. Klasyczny, umożliwiający obsługę przy pomocy klawiatury i myszy,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b. Dotykowy umożliwiający sterowanie dotykiem na urządzeniach typu tablet lub monitorach dotykowych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2. Funkcje związane z obsługą komputerów typu tablet, z wbudowanym modułem „uczenia się” pisma użytkownika – obsługa języka polskiego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3. Interfejs użytkownika dostępny w wielu językach do wyboru – w tym polskim i angielskim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lastRenderedPageBreak/>
              <w:t>4. Możliwość tworzenia pulpitów wirtualnych, przenoszenia aplikacji pomiędzy pulpitami i przełączanie się pomiędzy pulpitami za pomocą skrótów klawiaturowych lub GUI.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5. Wbudowane w system operacyjny minimum dwie przeglądarki Internetowe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 xml:space="preserve">6. Zintegrowany z systemem moduł wyszukiwania informacji (plików różnego typu, tekstów, </w:t>
            </w:r>
            <w:proofErr w:type="spellStart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metadanych</w:t>
            </w:r>
            <w:proofErr w:type="spellEnd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) dostępny z kilku poziomów: poziom menu, poziom otwartego okna systemu operacyjnego; system wyszukiwania oparty na konfigurowalnym przez użytkownika module indeksacji zasobów lokalnych,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7. Zlokalizowane w języku polskim, co najmniej następujące elementy: menu, pomoc, komunikaty systemowe, menedżer plików.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8. Graficzne środowisko instalacji i konfiguracji dostępne w języku polskim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9. Wbudowany system pomocy w języku polskim.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10. Możliwość przystosowania stanowiska dla osób niepełnosprawnych (np. słabo widzących).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11. Możliwość dokonywania aktualizacji i poprawek systemu poprzez mechanizm zarządzany przez administratora systemu Zamawiającego.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 xml:space="preserve">12. Możliwość dostarczania poprawek do systemu operacyjnego w modelu </w:t>
            </w:r>
            <w:proofErr w:type="spellStart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peer-to-peer</w:t>
            </w:r>
            <w:proofErr w:type="spellEnd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13. Możliwość sterowania czasem dostarczania nowych wersji systemu operacyjnego, możliwość centralnego opóźniania dostarczania nowej wersji o minimum 4 miesiące.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14. Zabezpieczony hasłem hierarchiczny dostęp do systemu, konta i profile użytkowników zarządzane zdalnie; praca systemu w trybie ochrony kont użytkowników.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 xml:space="preserve">15. Możliwość dołączenia systemu do usługi katalogowej </w:t>
            </w:r>
            <w:proofErr w:type="spellStart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on-premise</w:t>
            </w:r>
            <w:proofErr w:type="spellEnd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 xml:space="preserve"> lub w chmurze.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16. Umożliwienie zablokowania urządzenia w ramach danego konta tylko do uruchamiania wybranej aplikacji - tryb "kiosk".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18. Zdalna pomoc i współdzielenie aplikacji – możliwość zdalnego przejęcia sesji zalogowanego użytkownika celem rozwiązania problemu z komputerem.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 xml:space="preserve">19. Transakcyjny system plików pozwalający na stosowanie przydziałów (ang. </w:t>
            </w:r>
            <w:proofErr w:type="spellStart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quota</w:t>
            </w:r>
            <w:proofErr w:type="spellEnd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20. Oprogramowanie dla tworzenia kopii zapasowych (Backup); automatyczne wykonywanie kopii plików z możliwością automatycznego przywrócenia wersji wcześniejszej.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21. Możliwość przywracania obrazu plików systemowych do uprzednio zapisanej postaci.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22. Możliwość przywracania systemu operacyjnego do stanu początkowego z pozostawieniem plików użytkownika.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23. Możliwość blokowania lub dopuszczania dowolnych urządzeń peryferyjnych za pomocą polityk grupowych (np. przy użyciu numerów identyfikacyjnych sprzętu)."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 xml:space="preserve">24. Wbudowany mechanizm wirtualizacji typu </w:t>
            </w:r>
            <w:proofErr w:type="spellStart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hypervisor</w:t>
            </w:r>
            <w:proofErr w:type="spellEnd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."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25. Wbudowana możliwość zdalnego dostępu do systemu i pracy zdalnej z wykorzystaniem pełnego interfejsu graficznego.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26. Dostępność bezpłatnych biuletynów bezpieczeństwa związanych z działaniem systemu operacyjnego.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 xml:space="preserve">27. Wbudowana zapora internetowa (firewall) dla ochrony połączeń </w:t>
            </w:r>
            <w:r w:rsidRPr="00266B58">
              <w:rPr>
                <w:rFonts w:ascii="Cambria" w:hAnsi="Cambria" w:cs="Tahoma"/>
                <w:bCs/>
                <w:sz w:val="20"/>
                <w:szCs w:val="20"/>
              </w:rPr>
              <w:lastRenderedPageBreak/>
              <w:t>internetowych, zintegrowana z systemem konsola do zarządzania ustawieniami zapory i regułami IP v4 i v6.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30. Wbudowany system uwierzytelnienia dwuskładnikowego oparty o certyfikat lub klucz prywatny oraz PIN lub uwierzytelnienie biometryczne.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31. Wbudowane mechanizmy ochrony antywirusowej i przeciw złośliwemu oprogramowaniu z zapewnionymi bezpłatnymi aktualizacjami.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32. Wbudowany system szyfrowania dysku twardego ze wsparciem modułu TPM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33. Możliwość tworzenia i przechowywania kopii zapasowych kluczy odzyskiwania do szyfrowania dysku w usługach katalogowych.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34. Możliwość tworzenia wirtualnych kart inteligentnych.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 xml:space="preserve">35. Wsparcie dla </w:t>
            </w:r>
            <w:proofErr w:type="spellStart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firmware</w:t>
            </w:r>
            <w:proofErr w:type="spellEnd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 xml:space="preserve"> UEFI i funkcji bezpiecznego rozruchu (</w:t>
            </w:r>
            <w:proofErr w:type="spellStart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Secure</w:t>
            </w:r>
            <w:proofErr w:type="spellEnd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Boot</w:t>
            </w:r>
            <w:proofErr w:type="spellEnd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)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 xml:space="preserve">36. Wbudowany w system, wykorzystywany automatycznie przez wbudowane przeglądarki filtr </w:t>
            </w:r>
            <w:proofErr w:type="spellStart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reputacyjny</w:t>
            </w:r>
            <w:proofErr w:type="spellEnd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 xml:space="preserve"> URL.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37. Wsparcie dla IPSEC oparte na politykach – wdrażanie IPSEC oparte na zestawach reguł definiujących ustawienia zarządzanych w sposób centralny.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38. Mechanizmy logowania w oparciu o: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a. Login i hasło,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b. Karty inteligentne i certyfikaty (</w:t>
            </w:r>
            <w:proofErr w:type="spellStart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smartcard</w:t>
            </w:r>
            <w:proofErr w:type="spellEnd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),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c. Wirtualne karty inteligentne i certyfikaty (logowanie w oparciu o certyfikat chroniony poprzez moduł TPM),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d. Certyfikat/Klucz i PIN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e. Certyfikat/Klucz i uwierzytelnienie biometryczne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 xml:space="preserve">39. Wsparcie dla uwierzytelniania na bazie </w:t>
            </w:r>
            <w:proofErr w:type="spellStart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Kerberos</w:t>
            </w:r>
            <w:proofErr w:type="spellEnd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 xml:space="preserve"> v. 5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40. Wbudowany agent do zbierania danych na temat zagrożeń na stacji roboczej.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41. Wsparcie .NET Framework 2.x, 3.x i 4.x – możliwość uruchomienia aplikacji działających we wskazanych środowiskach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 xml:space="preserve">42. Wsparcie dla </w:t>
            </w:r>
            <w:proofErr w:type="spellStart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VBScript</w:t>
            </w:r>
            <w:proofErr w:type="spellEnd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 xml:space="preserve"> – możliwość uruchamiania interpretera poleceń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 xml:space="preserve">43. Wsparcie dla </w:t>
            </w:r>
            <w:proofErr w:type="spellStart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PowerShell</w:t>
            </w:r>
            <w:proofErr w:type="spellEnd"/>
            <w:r w:rsidRPr="00266B58">
              <w:rPr>
                <w:rFonts w:ascii="Cambria" w:hAnsi="Cambria" w:cs="Tahoma"/>
                <w:bCs/>
                <w:sz w:val="20"/>
                <w:szCs w:val="20"/>
              </w:rPr>
              <w:t xml:space="preserve"> 5.x – możliwość uruchamiania interpretera poleceń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Oprogramowanie biurowe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 xml:space="preserve">- Pakiet zintegrowanych aplikacji biurowych musi zawierać: 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 xml:space="preserve">a) Edytor tekstów 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 xml:space="preserve">b) Arkusz kalkulacyjny 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 xml:space="preserve">c) Narzędzie do przygotowywania i prowadzenia prezentacji 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d) Narzędzie do zarządzania informacją prywatą (pocztą elektroniczną, kalendarzem, kontaktami i zadaniami)</w:t>
            </w:r>
          </w:p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- Oprogramowanie w pełnej polskiej wersji językowej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Dołączone akcesoria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Zewnętrzny, pracujący w sieci elektrycznej 230V 50/60Hz, max 65W.</w:t>
            </w:r>
          </w:p>
        </w:tc>
      </w:tr>
      <w:tr w:rsidR="00061BBF" w:rsidRPr="00266B58" w:rsidTr="002E36BD">
        <w:trPr>
          <w:trHeight w:val="20"/>
        </w:trPr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Niezawodność / jakość wykonania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Sprzęt jest produkowany zgodnie z normami ISO 9001 lub równoważnymi oraz ISO 14001 lub równoważnymi</w:t>
            </w:r>
          </w:p>
        </w:tc>
      </w:tr>
      <w:tr w:rsidR="00061BBF" w:rsidRPr="00266B58" w:rsidTr="002E36BD">
        <w:trPr>
          <w:trHeight w:val="330"/>
        </w:trPr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 xml:space="preserve">Warunki gwarancji 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bCs/>
                <w:sz w:val="20"/>
                <w:szCs w:val="20"/>
              </w:rPr>
              <w:t>Gwarancja producenta</w:t>
            </w:r>
            <w:r w:rsidRPr="00266B58">
              <w:rPr>
                <w:rFonts w:ascii="Cambria" w:hAnsi="Cambria" w:cs="Tahoma"/>
                <w:sz w:val="20"/>
                <w:szCs w:val="20"/>
              </w:rPr>
              <w:t xml:space="preserve"> sprzętu min. 2 lata od daty zakupu </w:t>
            </w:r>
          </w:p>
        </w:tc>
      </w:tr>
      <w:tr w:rsidR="00061BBF" w:rsidRPr="00266B58" w:rsidTr="002E36BD">
        <w:trPr>
          <w:trHeight w:val="20"/>
        </w:trPr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 xml:space="preserve">Wsparcie techniczne 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Telefoniczne i/lub mailowe w godzinach (8.00-16.00) w dni robocze minimum przez okres gwarancji sprzętu .</w:t>
            </w:r>
          </w:p>
        </w:tc>
      </w:tr>
    </w:tbl>
    <w:p w:rsidR="00061BBF" w:rsidRPr="00266B58" w:rsidRDefault="00061BBF" w:rsidP="00061BBF">
      <w:pPr>
        <w:rPr>
          <w:rFonts w:ascii="Cambria" w:hAnsi="Cambria" w:cs="Tahoma"/>
          <w:sz w:val="20"/>
          <w:szCs w:val="20"/>
        </w:rPr>
      </w:pPr>
    </w:p>
    <w:p w:rsidR="00061BBF" w:rsidRPr="00266B58" w:rsidRDefault="00061BBF" w:rsidP="00061BBF">
      <w:pPr>
        <w:rPr>
          <w:rFonts w:ascii="Cambria" w:hAnsi="Cambria" w:cs="Tahoma"/>
          <w:sz w:val="20"/>
          <w:szCs w:val="20"/>
        </w:rPr>
      </w:pPr>
    </w:p>
    <w:p w:rsidR="00061BBF" w:rsidRPr="00266B58" w:rsidRDefault="00061BBF" w:rsidP="00061BBF">
      <w:pPr>
        <w:numPr>
          <w:ilvl w:val="0"/>
          <w:numId w:val="40"/>
        </w:numPr>
        <w:rPr>
          <w:rFonts w:ascii="Cambria" w:hAnsi="Cambria" w:cs="Tahoma"/>
          <w:sz w:val="20"/>
          <w:szCs w:val="20"/>
        </w:rPr>
      </w:pPr>
      <w:r w:rsidRPr="00266B58">
        <w:rPr>
          <w:rFonts w:ascii="Cambria" w:hAnsi="Cambria" w:cs="Tahoma"/>
          <w:sz w:val="20"/>
          <w:szCs w:val="20"/>
        </w:rPr>
        <w:t>PRZEDMIOT PRZETARGU: Dostawa zestawu tablic interaktywnych 4 sztuki</w:t>
      </w:r>
    </w:p>
    <w:p w:rsidR="00061BBF" w:rsidRPr="00266B58" w:rsidRDefault="00061BBF" w:rsidP="00061BBF">
      <w:pPr>
        <w:rPr>
          <w:rFonts w:ascii="Cambria" w:hAnsi="Cambria" w:cs="Tahoma"/>
          <w:sz w:val="20"/>
          <w:szCs w:val="20"/>
        </w:rPr>
      </w:pPr>
    </w:p>
    <w:p w:rsidR="00061BBF" w:rsidRPr="00266B58" w:rsidRDefault="00061BBF" w:rsidP="00061BBF">
      <w:pPr>
        <w:rPr>
          <w:rFonts w:ascii="Cambria" w:hAnsi="Cambria" w:cs="Tahoma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732"/>
        <w:gridCol w:w="6340"/>
      </w:tblGrid>
      <w:tr w:rsidR="00061BBF" w:rsidRPr="00266B58" w:rsidTr="002E36BD">
        <w:tc>
          <w:tcPr>
            <w:tcW w:w="851" w:type="dxa"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4 szt.</w:t>
            </w:r>
          </w:p>
        </w:tc>
        <w:tc>
          <w:tcPr>
            <w:tcW w:w="2732" w:type="dxa"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Nazwa podzespołu/ parametry</w:t>
            </w:r>
          </w:p>
        </w:tc>
        <w:tc>
          <w:tcPr>
            <w:tcW w:w="6340" w:type="dxa"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Opis minimalnych wymagań</w:t>
            </w:r>
          </w:p>
        </w:tc>
      </w:tr>
      <w:tr w:rsidR="00061BBF" w:rsidRPr="00266B58" w:rsidTr="002E36BD">
        <w:tc>
          <w:tcPr>
            <w:tcW w:w="851" w:type="dxa"/>
            <w:vMerge w:val="restart"/>
            <w:textDirection w:val="btLr"/>
            <w:vAlign w:val="center"/>
          </w:tcPr>
          <w:p w:rsidR="00061BBF" w:rsidRPr="00266B58" w:rsidRDefault="00061BBF" w:rsidP="002E36B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66B58">
              <w:rPr>
                <w:rFonts w:ascii="Cambria" w:hAnsi="Cambria" w:cs="Tahoma"/>
                <w:sz w:val="20"/>
                <w:szCs w:val="20"/>
              </w:rPr>
              <w:t>Tablica interaktywna wraz z projektorem i stojakiem</w:t>
            </w: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Typ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Tablica interaktywna z projektorem krótkoogniskowym i stojakiem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Tablica interaktywna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o przekątnej 79 cali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Proporcje obrazu standard 4:3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Prędkość odczytu współrzędnych 250 cali na sekundę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 xml:space="preserve">- Komunikacja z komputerem: Przewodowa(w standardzie): poprzez port USB </w:t>
            </w:r>
            <w:r w:rsidRPr="00266B58">
              <w:rPr>
                <w:rFonts w:ascii="Cambria" w:hAnsi="Cambria"/>
                <w:sz w:val="20"/>
                <w:szCs w:val="20"/>
              </w:rPr>
              <w:br/>
              <w:t>-Pisak elektroniczny zasilany przez wbudowany akumulator. Ładowanie pisaków za pomocą ładowarki znajdującej się w wyposażeniu standardowym tablicy interaktywnej bez konieczności wyjmowania akumulatora z pisaka elektronicznego (przez złącze zainstalowane w pisaku).</w:t>
            </w:r>
          </w:p>
          <w:p w:rsidR="00061BBF" w:rsidRPr="00266B58" w:rsidRDefault="00061BBF" w:rsidP="002E36B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Bezpośrednia i jednoczesna praca 2 osób na tablicy.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Temperatura pracy od 5 do 46 C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o wadze do 32 kilogramów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Oprogramowanie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Oprogramowanie w języku polskim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Darmowe aktualizacje, aktualizacja oprogramowania dostępna bezpośrednio w menu programu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Pełna paleta narzędzi do tworzenia elektronicznych adnotacji, takich jak: różnokolorowe pisaki, zakreślacze, pisaki wielokolorowe (tzw. Pisaki gradientowe), pisaki obrazkowe, stemple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Baza gotowych figur geometrycznych z funkcją ustawienia koloru wypełnienia (pełna paleta kolorów), koloru linii, grubości linii oraz stylu linii</w:t>
            </w:r>
          </w:p>
          <w:p w:rsidR="00061BBF" w:rsidRPr="00266B58" w:rsidRDefault="00061BBF" w:rsidP="002E36BD">
            <w:pPr>
              <w:autoSpaceDN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Interaktywne narzędzia do geometrii - linijka, ekierka, kątomierz, cyrkiel umożliwiający zakreślenie pełnego koła oraz łuku (z podaniem kąta wycinka). Narzędzia z możliwością dostosowania ich wielkości do wymagań prezentacji. Możliwość użycia tych narzędzi jako nakładki na dowolnej aplikacji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Pełna edycja obiektów umieszczonych na stronie: obrót, przesuwanie, zmiana rozmiarów, ustawianie kolejności, grupowanie i rozgrupowanie obiektów, narzędzia wypełnienia, wycinanie i wklejanie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 xml:space="preserve">Inteligentne zrzuty ekranu (zaznaczenie, cały ekran, dostępne okna aplikacji lub dowolny kształt) – </w:t>
            </w:r>
          </w:p>
          <w:p w:rsidR="00061BBF" w:rsidRPr="00266B58" w:rsidRDefault="00061BBF" w:rsidP="00061BBF">
            <w:pPr>
              <w:numPr>
                <w:ilvl w:val="0"/>
                <w:numId w:val="41"/>
              </w:numPr>
              <w:autoSpaceDN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umieszczanie zrzutu na bieżącej stronie lub na nowej</w:t>
            </w:r>
          </w:p>
          <w:p w:rsidR="00061BBF" w:rsidRPr="00266B58" w:rsidRDefault="00061BBF" w:rsidP="002E36BD">
            <w:pPr>
              <w:rPr>
                <w:rFonts w:ascii="Cambria" w:eastAsia="Calibri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Funkcja kurtyny ekranowej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Funkcja elektronicznego reflektora (latarki)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Zintegrowany tryb współpracy z aplikacjami Microsoft Office (Power Point, Excel, Word) umożliwiający wstawianie adnotacji bezpośrednio do tych aplikacji)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Praca na min. sześciu warstwach w ramach jednej strony z możliwością ukrywania warstw, zmiany ich kolejności , nadawania im tytułów i edytowania obiektów tylko na aktywnych warstwach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Funkcja kopiarki obiektów - kopiowanie wybranych elementów ze strony poprzez przeciąganie ich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Tablica znaków  - stawianie do dokumentu znaków specjalnych czyli znaków których nie można znaleźć na klawiaturze - operatory matematyczne, znaki notacji naukowej, symbole walut oraz znaki pochodzące z innych języków.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Wbudowana i w pełni edytowalna Galeria, zawierająca ponad 500 MB gotowych do wykorzystania i dostarczanych razem z tablicą elementów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Dodawanie do galerii:</w:t>
            </w:r>
          </w:p>
          <w:p w:rsidR="00061BBF" w:rsidRPr="00266B58" w:rsidRDefault="00061BBF" w:rsidP="00061BBF">
            <w:pPr>
              <w:numPr>
                <w:ilvl w:val="0"/>
                <w:numId w:val="43"/>
              </w:numPr>
              <w:autoSpaceDN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 xml:space="preserve">zewnętrznych elementów graficznych, dźwięków, filmów, obiektów </w:t>
            </w:r>
            <w:proofErr w:type="spellStart"/>
            <w:r w:rsidRPr="00266B58">
              <w:rPr>
                <w:rFonts w:ascii="Cambria" w:hAnsi="Cambria"/>
                <w:sz w:val="20"/>
                <w:szCs w:val="20"/>
              </w:rPr>
              <w:t>Flash</w:t>
            </w:r>
            <w:proofErr w:type="spellEnd"/>
            <w:r w:rsidRPr="00266B58">
              <w:rPr>
                <w:rFonts w:ascii="Cambria" w:hAnsi="Cambria"/>
                <w:sz w:val="20"/>
                <w:szCs w:val="20"/>
              </w:rPr>
              <w:t>, dokumentów PDF i adresów stron WWW</w:t>
            </w:r>
          </w:p>
          <w:p w:rsidR="00061BBF" w:rsidRPr="00266B58" w:rsidRDefault="00061BBF" w:rsidP="00061BBF">
            <w:pPr>
              <w:numPr>
                <w:ilvl w:val="0"/>
                <w:numId w:val="43"/>
              </w:numPr>
              <w:autoSpaceDN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pojedynczych elementów oraz całych katalogów z obiektami poprzez przeciąganie ich bezpośrednio z eksploratora plików systemu</w:t>
            </w:r>
          </w:p>
          <w:p w:rsidR="00061BBF" w:rsidRPr="00266B58" w:rsidRDefault="00061BBF" w:rsidP="00061BBF">
            <w:pPr>
              <w:numPr>
                <w:ilvl w:val="0"/>
                <w:numId w:val="43"/>
              </w:numPr>
              <w:autoSpaceDN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Elementów graficznych stron poprzez bezpośrednie przeciąganie ich do galerii</w:t>
            </w:r>
          </w:p>
          <w:p w:rsidR="00061BBF" w:rsidRPr="00266B58" w:rsidRDefault="00061BBF" w:rsidP="00061BBF">
            <w:pPr>
              <w:numPr>
                <w:ilvl w:val="0"/>
                <w:numId w:val="43"/>
              </w:numPr>
              <w:autoSpaceDN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Wybranych elementów znajdujących się na stronach oprogramowania do tablicy jak i całych stron</w:t>
            </w:r>
          </w:p>
          <w:p w:rsidR="00061BBF" w:rsidRPr="00266B58" w:rsidRDefault="00061BBF" w:rsidP="002E36BD">
            <w:pPr>
              <w:rPr>
                <w:rFonts w:ascii="Cambria" w:eastAsia="Calibri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Eksport zapisanych plików do takich formatów jak: PowerPoint (PPT), pliki graficzne (JPG, PNG, GIF, TIFF), pliki PDF, HTML.</w:t>
            </w:r>
          </w:p>
          <w:p w:rsidR="00061BBF" w:rsidRPr="00266B58" w:rsidRDefault="00061BBF" w:rsidP="00061BBF">
            <w:pPr>
              <w:numPr>
                <w:ilvl w:val="0"/>
                <w:numId w:val="44"/>
              </w:numPr>
              <w:autoSpaceDN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Nadanie nazwy dla eksportowanego pliku</w:t>
            </w:r>
          </w:p>
          <w:p w:rsidR="00061BBF" w:rsidRPr="00266B58" w:rsidRDefault="00061BBF" w:rsidP="00061BBF">
            <w:pPr>
              <w:numPr>
                <w:ilvl w:val="0"/>
                <w:numId w:val="44"/>
              </w:numPr>
              <w:autoSpaceDN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Określenie katalogi eksportu</w:t>
            </w:r>
          </w:p>
          <w:p w:rsidR="00061BBF" w:rsidRPr="00266B58" w:rsidRDefault="00061BBF" w:rsidP="00061BBF">
            <w:pPr>
              <w:numPr>
                <w:ilvl w:val="0"/>
                <w:numId w:val="44"/>
              </w:numPr>
              <w:autoSpaceDN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Określenie które dokładnie strony mają zostać wyeksportowane np. strony 1 -10 oraz strona 15</w:t>
            </w:r>
          </w:p>
          <w:p w:rsidR="00061BBF" w:rsidRPr="00266B58" w:rsidRDefault="00061BBF" w:rsidP="002E36BD">
            <w:pPr>
              <w:rPr>
                <w:rFonts w:ascii="Cambria" w:eastAsia="Calibri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Tworzenie interaktywnych ćwiczeń poprzez uzupełnianie dowolnymi treściami wbudowanych szablonów ćwiczeń.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Projektor krótkoogniskowy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kompatybilny z tablicą interaktywną,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color w:val="000000"/>
                <w:sz w:val="20"/>
                <w:szCs w:val="20"/>
              </w:rPr>
              <w:t xml:space="preserve">- </w:t>
            </w:r>
            <w:r w:rsidRPr="00266B58">
              <w:rPr>
                <w:rFonts w:ascii="Cambria" w:hAnsi="Cambria"/>
                <w:sz w:val="20"/>
                <w:szCs w:val="20"/>
              </w:rPr>
              <w:t>Projektor powinien pracować w rozdzielczości minimum 1024 x 768 pikseli,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kontrast co najmniej 3000:1,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Częstotliwość odświeżania pionowego 2D 50 Hz - 85 Hz</w:t>
            </w:r>
            <w:r w:rsidRPr="00266B58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</w:t>
            </w:r>
          </w:p>
          <w:p w:rsidR="00061BBF" w:rsidRPr="00266B58" w:rsidRDefault="00061BBF" w:rsidP="002E14F5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Jasność (tryb jasny) 2800 Lumenów</w:t>
            </w:r>
          </w:p>
        </w:tc>
      </w:tr>
      <w:tr w:rsidR="00061BBF" w:rsidRPr="00266B58" w:rsidTr="002E36BD"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Stojak kompatybilny z tablicą i projektorem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o wytrzymałości do 32 kilogramów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wykonany w konstrukcji stalowej,</w:t>
            </w:r>
          </w:p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- ręczna regulacja wysokości położenia tablicy (w zakresie 40 cm)</w:t>
            </w:r>
          </w:p>
        </w:tc>
      </w:tr>
      <w:tr w:rsidR="00061BBF" w:rsidRPr="00266B58" w:rsidTr="002E36BD">
        <w:trPr>
          <w:trHeight w:val="330"/>
        </w:trPr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 xml:space="preserve">Warunki gwarancji 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 xml:space="preserve">min. 3 lata od daty dostawy </w:t>
            </w:r>
          </w:p>
        </w:tc>
      </w:tr>
      <w:tr w:rsidR="00061BBF" w:rsidRPr="00266B58" w:rsidTr="002E36BD">
        <w:trPr>
          <w:trHeight w:val="20"/>
        </w:trPr>
        <w:tc>
          <w:tcPr>
            <w:tcW w:w="851" w:type="dxa"/>
            <w:vMerge/>
            <w:vAlign w:val="center"/>
          </w:tcPr>
          <w:p w:rsidR="00061BBF" w:rsidRPr="00266B58" w:rsidRDefault="00061BBF" w:rsidP="002E36BD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32" w:type="dxa"/>
          </w:tcPr>
          <w:p w:rsidR="00061BBF" w:rsidRPr="00266B58" w:rsidRDefault="00061BBF" w:rsidP="002E36BD">
            <w:pPr>
              <w:spacing w:line="20" w:lineRule="atLeast"/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 xml:space="preserve">Wsparcie techniczne </w:t>
            </w:r>
          </w:p>
        </w:tc>
        <w:tc>
          <w:tcPr>
            <w:tcW w:w="6340" w:type="dxa"/>
          </w:tcPr>
          <w:p w:rsidR="00061BBF" w:rsidRPr="00266B58" w:rsidRDefault="00061BBF" w:rsidP="002E36BD">
            <w:pPr>
              <w:spacing w:line="20" w:lineRule="atLeast"/>
              <w:rPr>
                <w:rFonts w:ascii="Cambria" w:hAnsi="Cambria"/>
                <w:sz w:val="20"/>
                <w:szCs w:val="20"/>
              </w:rPr>
            </w:pPr>
            <w:r w:rsidRPr="00266B58">
              <w:rPr>
                <w:rFonts w:ascii="Cambria" w:hAnsi="Cambria"/>
                <w:sz w:val="20"/>
                <w:szCs w:val="20"/>
              </w:rPr>
              <w:t>Telefoniczne i/lub mailowe w godzinach (8.00-16.00) w dni robocze minimum przez okres gwarancji sprzętu .</w:t>
            </w:r>
          </w:p>
        </w:tc>
      </w:tr>
    </w:tbl>
    <w:p w:rsidR="00061BBF" w:rsidRPr="00266B58" w:rsidRDefault="00061BBF" w:rsidP="00061BBF">
      <w:pPr>
        <w:rPr>
          <w:rFonts w:ascii="Cambria" w:hAnsi="Cambria" w:cs="Tahoma"/>
          <w:sz w:val="20"/>
          <w:szCs w:val="20"/>
        </w:rPr>
      </w:pPr>
    </w:p>
    <w:p w:rsidR="00BB7F22" w:rsidRPr="00266B58" w:rsidRDefault="00BB7F22" w:rsidP="00061BBF">
      <w:pPr>
        <w:rPr>
          <w:rFonts w:ascii="Cambria" w:hAnsi="Cambria"/>
          <w:sz w:val="20"/>
          <w:szCs w:val="20"/>
        </w:rPr>
      </w:pPr>
    </w:p>
    <w:sectPr w:rsidR="00BB7F22" w:rsidRPr="00266B58" w:rsidSect="0023188D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27" w:rsidRDefault="00993927" w:rsidP="00573CDB">
      <w:r>
        <w:separator/>
      </w:r>
    </w:p>
  </w:endnote>
  <w:endnote w:type="continuationSeparator" w:id="0">
    <w:p w:rsidR="00993927" w:rsidRDefault="00993927" w:rsidP="0057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283944"/>
      <w:docPartObj>
        <w:docPartGallery w:val="Page Numbers (Bottom of Page)"/>
        <w:docPartUnique/>
      </w:docPartObj>
    </w:sdtPr>
    <w:sdtContent>
      <w:p w:rsidR="000E7B66" w:rsidRDefault="00BC592D">
        <w:pPr>
          <w:pStyle w:val="Stopka"/>
          <w:jc w:val="center"/>
        </w:pPr>
        <w:r>
          <w:fldChar w:fldCharType="begin"/>
        </w:r>
        <w:r w:rsidR="000E7B66">
          <w:instrText>PAGE   \* MERGEFORMAT</w:instrText>
        </w:r>
        <w:r>
          <w:fldChar w:fldCharType="separate"/>
        </w:r>
        <w:r w:rsidR="009D134C">
          <w:rPr>
            <w:noProof/>
          </w:rPr>
          <w:t>2</w:t>
        </w:r>
        <w:r>
          <w:fldChar w:fldCharType="end"/>
        </w:r>
      </w:p>
    </w:sdtContent>
  </w:sdt>
  <w:p w:rsidR="000E7B66" w:rsidRDefault="000E7B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27" w:rsidRDefault="00993927" w:rsidP="00573CDB">
      <w:r>
        <w:separator/>
      </w:r>
    </w:p>
  </w:footnote>
  <w:footnote w:type="continuationSeparator" w:id="0">
    <w:p w:rsidR="00993927" w:rsidRDefault="00993927" w:rsidP="00573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66" w:rsidRDefault="000E7B66" w:rsidP="00D2149F">
    <w:pPr>
      <w:pStyle w:val="Nagwek"/>
      <w:jc w:val="center"/>
    </w:pPr>
    <w:r>
      <w:rPr>
        <w:noProof/>
      </w:rPr>
      <w:drawing>
        <wp:inline distT="0" distB="0" distL="0" distR="0">
          <wp:extent cx="5760720" cy="711111"/>
          <wp:effectExtent l="0" t="0" r="0" b="0"/>
          <wp:docPr id="1" name="Obraz 1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1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66" w:rsidRDefault="00112C0F" w:rsidP="0023188D">
    <w:pPr>
      <w:pStyle w:val="Nagwek"/>
      <w:jc w:val="center"/>
    </w:pPr>
    <w:r>
      <w:rPr>
        <w:noProof/>
      </w:rPr>
      <w:drawing>
        <wp:inline distT="0" distB="0" distL="0" distR="0">
          <wp:extent cx="5546090" cy="676910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09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FF6"/>
    <w:multiLevelType w:val="hybridMultilevel"/>
    <w:tmpl w:val="23D02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0381"/>
    <w:multiLevelType w:val="hybridMultilevel"/>
    <w:tmpl w:val="B03808D0"/>
    <w:lvl w:ilvl="0" w:tplc="D62E38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144AD3E8">
      <w:start w:val="1"/>
      <w:numFmt w:val="lowerLetter"/>
      <w:lvlText w:val="%2."/>
      <w:lvlJc w:val="left"/>
      <w:pPr>
        <w:ind w:left="502" w:hanging="360"/>
      </w:pPr>
      <w:rPr>
        <w:b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3CF"/>
    <w:multiLevelType w:val="hybridMultilevel"/>
    <w:tmpl w:val="B432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5606C"/>
    <w:multiLevelType w:val="hybridMultilevel"/>
    <w:tmpl w:val="F3CC78F4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A2501"/>
    <w:multiLevelType w:val="hybridMultilevel"/>
    <w:tmpl w:val="C52E2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F7007"/>
    <w:multiLevelType w:val="hybridMultilevel"/>
    <w:tmpl w:val="82D6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8396F"/>
    <w:multiLevelType w:val="hybridMultilevel"/>
    <w:tmpl w:val="BAA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E1098">
      <w:start w:val="12"/>
      <w:numFmt w:val="bullet"/>
      <w:lvlText w:val="•"/>
      <w:lvlJc w:val="left"/>
      <w:pPr>
        <w:ind w:left="1785" w:hanging="705"/>
      </w:pPr>
      <w:rPr>
        <w:rFonts w:ascii="Calibri" w:eastAsiaTheme="minorHAnsi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13E51"/>
    <w:multiLevelType w:val="hybridMultilevel"/>
    <w:tmpl w:val="DA4C3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C473F"/>
    <w:multiLevelType w:val="hybridMultilevel"/>
    <w:tmpl w:val="7F6A7888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B6DD5"/>
    <w:multiLevelType w:val="hybridMultilevel"/>
    <w:tmpl w:val="424A8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306D6"/>
    <w:multiLevelType w:val="hybridMultilevel"/>
    <w:tmpl w:val="1DE8B8F2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B5EB8"/>
    <w:multiLevelType w:val="multilevel"/>
    <w:tmpl w:val="FA9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9C42FD"/>
    <w:multiLevelType w:val="hybridMultilevel"/>
    <w:tmpl w:val="92765534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A272E"/>
    <w:multiLevelType w:val="hybridMultilevel"/>
    <w:tmpl w:val="6FBA99C8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6481B"/>
    <w:multiLevelType w:val="hybridMultilevel"/>
    <w:tmpl w:val="DF1C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4AD3E8">
      <w:start w:val="1"/>
      <w:numFmt w:val="lowerLetter"/>
      <w:lvlText w:val="%2."/>
      <w:lvlJc w:val="left"/>
      <w:pPr>
        <w:ind w:left="502" w:hanging="360"/>
      </w:pPr>
      <w:rPr>
        <w:b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D4E74"/>
    <w:multiLevelType w:val="hybridMultilevel"/>
    <w:tmpl w:val="7D9669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342AD"/>
    <w:multiLevelType w:val="hybridMultilevel"/>
    <w:tmpl w:val="5BD8C3AC"/>
    <w:lvl w:ilvl="0" w:tplc="904C2AB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D7F90"/>
    <w:multiLevelType w:val="hybridMultilevel"/>
    <w:tmpl w:val="68F60B6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B0595"/>
    <w:multiLevelType w:val="hybridMultilevel"/>
    <w:tmpl w:val="8D1CE0B0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8390C"/>
    <w:multiLevelType w:val="hybridMultilevel"/>
    <w:tmpl w:val="D00E2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876C0"/>
    <w:multiLevelType w:val="hybridMultilevel"/>
    <w:tmpl w:val="6A7460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D1A31"/>
    <w:multiLevelType w:val="hybridMultilevel"/>
    <w:tmpl w:val="BB98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91396"/>
    <w:multiLevelType w:val="hybridMultilevel"/>
    <w:tmpl w:val="CD6C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441C4"/>
    <w:multiLevelType w:val="hybridMultilevel"/>
    <w:tmpl w:val="16702ECE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E7E3916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21434"/>
    <w:multiLevelType w:val="hybridMultilevel"/>
    <w:tmpl w:val="68F60B6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B54E1"/>
    <w:multiLevelType w:val="multilevel"/>
    <w:tmpl w:val="2114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2C712A"/>
    <w:multiLevelType w:val="multilevel"/>
    <w:tmpl w:val="4598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C25447"/>
    <w:multiLevelType w:val="hybridMultilevel"/>
    <w:tmpl w:val="D1FEB308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C4D93"/>
    <w:multiLevelType w:val="hybridMultilevel"/>
    <w:tmpl w:val="AB3A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05C40"/>
    <w:multiLevelType w:val="hybridMultilevel"/>
    <w:tmpl w:val="0DEC8478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144AD3E8">
      <w:start w:val="1"/>
      <w:numFmt w:val="lowerLetter"/>
      <w:lvlText w:val="%2."/>
      <w:lvlJc w:val="left"/>
      <w:pPr>
        <w:ind w:left="502" w:hanging="360"/>
      </w:pPr>
      <w:rPr>
        <w:b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053F69"/>
    <w:multiLevelType w:val="hybridMultilevel"/>
    <w:tmpl w:val="B5D41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759E3"/>
    <w:multiLevelType w:val="hybridMultilevel"/>
    <w:tmpl w:val="F4B68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D4D6B"/>
    <w:multiLevelType w:val="multilevel"/>
    <w:tmpl w:val="6E02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182D5E"/>
    <w:multiLevelType w:val="hybridMultilevel"/>
    <w:tmpl w:val="7F6A7888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73936"/>
    <w:multiLevelType w:val="hybridMultilevel"/>
    <w:tmpl w:val="10A6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F77A7"/>
    <w:multiLevelType w:val="hybridMultilevel"/>
    <w:tmpl w:val="0DEC8478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144AD3E8">
      <w:start w:val="1"/>
      <w:numFmt w:val="lowerLetter"/>
      <w:lvlText w:val="%2."/>
      <w:lvlJc w:val="left"/>
      <w:pPr>
        <w:ind w:left="502" w:hanging="360"/>
      </w:pPr>
      <w:rPr>
        <w:b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B4381"/>
    <w:multiLevelType w:val="hybridMultilevel"/>
    <w:tmpl w:val="EA960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13B01"/>
    <w:multiLevelType w:val="hybridMultilevel"/>
    <w:tmpl w:val="16702ECE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E7E3916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A407F"/>
    <w:multiLevelType w:val="hybridMultilevel"/>
    <w:tmpl w:val="ABEAB0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B1194"/>
    <w:multiLevelType w:val="hybridMultilevel"/>
    <w:tmpl w:val="4B2C369C"/>
    <w:lvl w:ilvl="0" w:tplc="BF887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4B48E5"/>
    <w:multiLevelType w:val="hybridMultilevel"/>
    <w:tmpl w:val="67B29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06E99"/>
    <w:multiLevelType w:val="hybridMultilevel"/>
    <w:tmpl w:val="72BC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50D46"/>
    <w:multiLevelType w:val="hybridMultilevel"/>
    <w:tmpl w:val="379E2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43"/>
  </w:num>
  <w:num w:numId="4">
    <w:abstractNumId w:val="0"/>
  </w:num>
  <w:num w:numId="5">
    <w:abstractNumId w:val="1"/>
  </w:num>
  <w:num w:numId="6">
    <w:abstractNumId w:val="4"/>
  </w:num>
  <w:num w:numId="7">
    <w:abstractNumId w:val="28"/>
  </w:num>
  <w:num w:numId="8">
    <w:abstractNumId w:val="20"/>
  </w:num>
  <w:num w:numId="9">
    <w:abstractNumId w:val="15"/>
  </w:num>
  <w:num w:numId="10">
    <w:abstractNumId w:val="24"/>
  </w:num>
  <w:num w:numId="11">
    <w:abstractNumId w:val="17"/>
  </w:num>
  <w:num w:numId="12">
    <w:abstractNumId w:val="16"/>
  </w:num>
  <w:num w:numId="13">
    <w:abstractNumId w:val="19"/>
  </w:num>
  <w:num w:numId="14">
    <w:abstractNumId w:val="6"/>
  </w:num>
  <w:num w:numId="15">
    <w:abstractNumId w:val="35"/>
  </w:num>
  <w:num w:numId="16">
    <w:abstractNumId w:val="13"/>
  </w:num>
  <w:num w:numId="17">
    <w:abstractNumId w:val="2"/>
  </w:num>
  <w:num w:numId="18">
    <w:abstractNumId w:val="27"/>
  </w:num>
  <w:num w:numId="19">
    <w:abstractNumId w:val="9"/>
  </w:num>
  <w:num w:numId="20">
    <w:abstractNumId w:val="40"/>
  </w:num>
  <w:num w:numId="21">
    <w:abstractNumId w:val="21"/>
  </w:num>
  <w:num w:numId="22">
    <w:abstractNumId w:val="12"/>
  </w:num>
  <w:num w:numId="23">
    <w:abstractNumId w:val="14"/>
  </w:num>
  <w:num w:numId="24">
    <w:abstractNumId w:val="3"/>
  </w:num>
  <w:num w:numId="25">
    <w:abstractNumId w:val="36"/>
  </w:num>
  <w:num w:numId="26">
    <w:abstractNumId w:val="29"/>
  </w:num>
  <w:num w:numId="27">
    <w:abstractNumId w:val="38"/>
  </w:num>
  <w:num w:numId="28">
    <w:abstractNumId w:val="23"/>
  </w:num>
  <w:num w:numId="29">
    <w:abstractNumId w:val="18"/>
  </w:num>
  <w:num w:numId="30">
    <w:abstractNumId w:val="39"/>
  </w:num>
  <w:num w:numId="31">
    <w:abstractNumId w:val="8"/>
  </w:num>
  <w:num w:numId="32">
    <w:abstractNumId w:val="34"/>
  </w:num>
  <w:num w:numId="33">
    <w:abstractNumId w:val="10"/>
  </w:num>
  <w:num w:numId="34">
    <w:abstractNumId w:val="7"/>
  </w:num>
  <w:num w:numId="35">
    <w:abstractNumId w:val="22"/>
  </w:num>
  <w:num w:numId="36">
    <w:abstractNumId w:val="41"/>
  </w:num>
  <w:num w:numId="37">
    <w:abstractNumId w:val="37"/>
  </w:num>
  <w:num w:numId="38">
    <w:abstractNumId w:val="5"/>
  </w:num>
  <w:num w:numId="39">
    <w:abstractNumId w:val="31"/>
  </w:num>
  <w:num w:numId="40">
    <w:abstractNumId w:val="32"/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E80646"/>
    <w:rsid w:val="00020372"/>
    <w:rsid w:val="00025D84"/>
    <w:rsid w:val="00042547"/>
    <w:rsid w:val="00061BBF"/>
    <w:rsid w:val="000A4965"/>
    <w:rsid w:val="000B77BE"/>
    <w:rsid w:val="000E7B66"/>
    <w:rsid w:val="00112C0F"/>
    <w:rsid w:val="00151630"/>
    <w:rsid w:val="001519B2"/>
    <w:rsid w:val="0015438D"/>
    <w:rsid w:val="001A2749"/>
    <w:rsid w:val="001B1D49"/>
    <w:rsid w:val="001F2EEC"/>
    <w:rsid w:val="001F68FE"/>
    <w:rsid w:val="00204646"/>
    <w:rsid w:val="00220EAA"/>
    <w:rsid w:val="00226ABE"/>
    <w:rsid w:val="0023188D"/>
    <w:rsid w:val="00252B19"/>
    <w:rsid w:val="00266B58"/>
    <w:rsid w:val="00295C25"/>
    <w:rsid w:val="002B0543"/>
    <w:rsid w:val="002C799D"/>
    <w:rsid w:val="002E14F5"/>
    <w:rsid w:val="002E2B14"/>
    <w:rsid w:val="00320B8C"/>
    <w:rsid w:val="00347133"/>
    <w:rsid w:val="00374375"/>
    <w:rsid w:val="00383E7E"/>
    <w:rsid w:val="003B54F8"/>
    <w:rsid w:val="003E4F6B"/>
    <w:rsid w:val="003F0C72"/>
    <w:rsid w:val="003F377B"/>
    <w:rsid w:val="00407EA5"/>
    <w:rsid w:val="0045102D"/>
    <w:rsid w:val="00451654"/>
    <w:rsid w:val="004565DB"/>
    <w:rsid w:val="00477773"/>
    <w:rsid w:val="00485213"/>
    <w:rsid w:val="004B5465"/>
    <w:rsid w:val="004D4A1D"/>
    <w:rsid w:val="004F6228"/>
    <w:rsid w:val="005013A7"/>
    <w:rsid w:val="00511315"/>
    <w:rsid w:val="005178CC"/>
    <w:rsid w:val="0053764B"/>
    <w:rsid w:val="00573CDB"/>
    <w:rsid w:val="005C6DA2"/>
    <w:rsid w:val="005E0D39"/>
    <w:rsid w:val="005F2F6A"/>
    <w:rsid w:val="00635B8C"/>
    <w:rsid w:val="00667453"/>
    <w:rsid w:val="00685DC0"/>
    <w:rsid w:val="006A0D30"/>
    <w:rsid w:val="006A1D4D"/>
    <w:rsid w:val="006F5F25"/>
    <w:rsid w:val="00707AA1"/>
    <w:rsid w:val="0071577D"/>
    <w:rsid w:val="00732649"/>
    <w:rsid w:val="00732EA4"/>
    <w:rsid w:val="0073429A"/>
    <w:rsid w:val="007360F9"/>
    <w:rsid w:val="00767841"/>
    <w:rsid w:val="00774853"/>
    <w:rsid w:val="00802F9F"/>
    <w:rsid w:val="00841F4A"/>
    <w:rsid w:val="00861D60"/>
    <w:rsid w:val="008764FD"/>
    <w:rsid w:val="00895137"/>
    <w:rsid w:val="008B16CF"/>
    <w:rsid w:val="008B3225"/>
    <w:rsid w:val="008C3CEB"/>
    <w:rsid w:val="008C6CBD"/>
    <w:rsid w:val="008E6CA3"/>
    <w:rsid w:val="009359BC"/>
    <w:rsid w:val="0094206E"/>
    <w:rsid w:val="00963375"/>
    <w:rsid w:val="00963DC1"/>
    <w:rsid w:val="009810FC"/>
    <w:rsid w:val="00993927"/>
    <w:rsid w:val="009B0F6A"/>
    <w:rsid w:val="009B4ECA"/>
    <w:rsid w:val="009D0D99"/>
    <w:rsid w:val="009D134C"/>
    <w:rsid w:val="009D340F"/>
    <w:rsid w:val="009D7AAF"/>
    <w:rsid w:val="009F2359"/>
    <w:rsid w:val="009F7882"/>
    <w:rsid w:val="00A32D38"/>
    <w:rsid w:val="00A47FE7"/>
    <w:rsid w:val="00A56487"/>
    <w:rsid w:val="00A622A5"/>
    <w:rsid w:val="00AD0FC8"/>
    <w:rsid w:val="00AE0C96"/>
    <w:rsid w:val="00B660FE"/>
    <w:rsid w:val="00BB7F22"/>
    <w:rsid w:val="00BC592D"/>
    <w:rsid w:val="00BD6E3F"/>
    <w:rsid w:val="00BE5828"/>
    <w:rsid w:val="00BE6161"/>
    <w:rsid w:val="00C00E2A"/>
    <w:rsid w:val="00C134EC"/>
    <w:rsid w:val="00C36F2D"/>
    <w:rsid w:val="00C435B8"/>
    <w:rsid w:val="00C47FF5"/>
    <w:rsid w:val="00C51D0E"/>
    <w:rsid w:val="00C71829"/>
    <w:rsid w:val="00C87B31"/>
    <w:rsid w:val="00CA54CF"/>
    <w:rsid w:val="00CB3EFF"/>
    <w:rsid w:val="00CB509B"/>
    <w:rsid w:val="00CD11D8"/>
    <w:rsid w:val="00CE5C1F"/>
    <w:rsid w:val="00D05ECE"/>
    <w:rsid w:val="00D1406F"/>
    <w:rsid w:val="00D15729"/>
    <w:rsid w:val="00D2149F"/>
    <w:rsid w:val="00D335A3"/>
    <w:rsid w:val="00DB011E"/>
    <w:rsid w:val="00DD128F"/>
    <w:rsid w:val="00DE1788"/>
    <w:rsid w:val="00DE51BD"/>
    <w:rsid w:val="00DF0D0E"/>
    <w:rsid w:val="00E120ED"/>
    <w:rsid w:val="00E22626"/>
    <w:rsid w:val="00E36B66"/>
    <w:rsid w:val="00E80646"/>
    <w:rsid w:val="00EA21C3"/>
    <w:rsid w:val="00EB24D4"/>
    <w:rsid w:val="00EC06DC"/>
    <w:rsid w:val="00ED3D24"/>
    <w:rsid w:val="00F01A32"/>
    <w:rsid w:val="00F21A90"/>
    <w:rsid w:val="00F27B7F"/>
    <w:rsid w:val="00F352A3"/>
    <w:rsid w:val="00F439FC"/>
    <w:rsid w:val="00F56A3C"/>
    <w:rsid w:val="00F8319A"/>
    <w:rsid w:val="00F94E34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E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80646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E806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80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0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0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6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646"/>
    <w:rPr>
      <w:rFonts w:ascii="Tahoma" w:hAnsi="Tahoma" w:cs="Tahoma"/>
      <w:sz w:val="16"/>
      <w:szCs w:val="16"/>
    </w:rPr>
  </w:style>
  <w:style w:type="paragraph" w:customStyle="1" w:styleId="Tabelapozycja">
    <w:name w:val="Tabela pozycja"/>
    <w:basedOn w:val="Normalny"/>
    <w:rsid w:val="0053764B"/>
    <w:rPr>
      <w:rFonts w:ascii="Arial" w:eastAsia="MS Outlook" w:hAnsi="Arial"/>
      <w:szCs w:val="20"/>
    </w:rPr>
  </w:style>
  <w:style w:type="character" w:customStyle="1" w:styleId="apple-converted-space">
    <w:name w:val="apple-converted-space"/>
    <w:rsid w:val="0053764B"/>
  </w:style>
  <w:style w:type="character" w:styleId="Pogrubienie">
    <w:name w:val="Strong"/>
    <w:uiPriority w:val="22"/>
    <w:qFormat/>
    <w:rsid w:val="0053764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E6161"/>
    <w:pPr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85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DC0"/>
  </w:style>
  <w:style w:type="character" w:customStyle="1" w:styleId="AkapitzlistZnak">
    <w:name w:val="Akapit z listą Znak"/>
    <w:link w:val="Akapitzlist"/>
    <w:uiPriority w:val="34"/>
    <w:locked/>
    <w:rsid w:val="00685DC0"/>
    <w:rPr>
      <w:lang w:val="en-US"/>
    </w:rPr>
  </w:style>
  <w:style w:type="character" w:customStyle="1" w:styleId="csaed4b1c7">
    <w:name w:val="csaed4b1c7"/>
    <w:basedOn w:val="Domylnaczcionkaakapitu"/>
    <w:rsid w:val="00685DC0"/>
  </w:style>
  <w:style w:type="paragraph" w:customStyle="1" w:styleId="Akapitzlist1">
    <w:name w:val="Akapit z listą1"/>
    <w:basedOn w:val="Normalny"/>
    <w:rsid w:val="00C36F2D"/>
    <w:pPr>
      <w:spacing w:after="80"/>
      <w:ind w:left="720"/>
    </w:pPr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573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CDB"/>
  </w:style>
  <w:style w:type="character" w:customStyle="1" w:styleId="Nagwek2Znak">
    <w:name w:val="Nagłówek 2 Znak"/>
    <w:basedOn w:val="Domylnaczcionkaakapitu"/>
    <w:link w:val="Nagwek2"/>
    <w:uiPriority w:val="9"/>
    <w:rsid w:val="00383E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83E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4">
    <w:name w:val="a4"/>
    <w:rsid w:val="00112C0F"/>
  </w:style>
  <w:style w:type="paragraph" w:customStyle="1" w:styleId="Default">
    <w:name w:val="Default"/>
    <w:basedOn w:val="Normalny"/>
    <w:uiPriority w:val="99"/>
    <w:rsid w:val="00112C0F"/>
    <w:pPr>
      <w:autoSpaceDE w:val="0"/>
      <w:autoSpaceDN w:val="0"/>
    </w:pPr>
    <w:rPr>
      <w:rFonts w:ascii="Arial" w:eastAsia="Calibr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0646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E806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80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0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0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6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646"/>
    <w:rPr>
      <w:rFonts w:ascii="Tahoma" w:hAnsi="Tahoma" w:cs="Tahoma"/>
      <w:sz w:val="16"/>
      <w:szCs w:val="16"/>
    </w:rPr>
  </w:style>
  <w:style w:type="paragraph" w:customStyle="1" w:styleId="Tabelapozycja">
    <w:name w:val="Tabela pozycja"/>
    <w:basedOn w:val="Normalny"/>
    <w:rsid w:val="0053764B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apple-converted-space">
    <w:name w:val="apple-converted-space"/>
    <w:rsid w:val="0053764B"/>
  </w:style>
  <w:style w:type="character" w:styleId="Pogrubienie">
    <w:name w:val="Strong"/>
    <w:uiPriority w:val="22"/>
    <w:qFormat/>
    <w:rsid w:val="0053764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E6161"/>
    <w:pPr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8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DC0"/>
  </w:style>
  <w:style w:type="character" w:customStyle="1" w:styleId="AkapitzlistZnak">
    <w:name w:val="Akapit z listą Znak"/>
    <w:link w:val="Akapitzlist"/>
    <w:uiPriority w:val="34"/>
    <w:locked/>
    <w:rsid w:val="00685DC0"/>
    <w:rPr>
      <w:lang w:val="en-US"/>
    </w:rPr>
  </w:style>
  <w:style w:type="character" w:customStyle="1" w:styleId="csaed4b1c7">
    <w:name w:val="csaed4b1c7"/>
    <w:basedOn w:val="Domylnaczcionkaakapitu"/>
    <w:rsid w:val="00685DC0"/>
  </w:style>
  <w:style w:type="paragraph" w:customStyle="1" w:styleId="Akapitzlist1">
    <w:name w:val="Akapit z listą1"/>
    <w:basedOn w:val="Normalny"/>
    <w:rsid w:val="00C36F2D"/>
    <w:pPr>
      <w:spacing w:after="80" w:line="240" w:lineRule="auto"/>
      <w:ind w:left="720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CDB"/>
  </w:style>
  <w:style w:type="character" w:customStyle="1" w:styleId="Nagwek2Znak">
    <w:name w:val="Nagłówek 2 Znak"/>
    <w:basedOn w:val="Domylnaczcionkaakapitu"/>
    <w:link w:val="Nagwek2"/>
    <w:uiPriority w:val="9"/>
    <w:rsid w:val="00383E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83E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ideocardbenchmark.net/gpu_list.ph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ubenchmark.net/cpu_list.php" TargetMode="External"/><Relationship Id="rId1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33BAA551589944B86FF095F82B6418" ma:contentTypeVersion="2" ma:contentTypeDescription="Utwórz nowy dokument." ma:contentTypeScope="" ma:versionID="8bd602aac55788c772927750f41d37c4">
  <xsd:schema xmlns:xsd="http://www.w3.org/2001/XMLSchema" xmlns:xs="http://www.w3.org/2001/XMLSchema" xmlns:p="http://schemas.microsoft.com/office/2006/metadata/properties" xmlns:ns2="5ffa5ceb-1ca7-4c2c-8f8c-95c19c2989df" targetNamespace="http://schemas.microsoft.com/office/2006/metadata/properties" ma:root="true" ma:fieldsID="f7dd9ba044367f6e8a5fd9fdb7e0bac1" ns2:_="">
    <xsd:import namespace="5ffa5ceb-1ca7-4c2c-8f8c-95c19c2989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a5ceb-1ca7-4c2c-8f8c-95c19c2989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fa5ceb-1ca7-4c2c-8f8c-95c19c2989df">E65TFH6AARHY-508814366-131</_dlc_DocId>
    <_dlc_DocIdUrl xmlns="5ffa5ceb-1ca7-4c2c-8f8c-95c19c2989df">
      <Url>https://positivepro00.sharepoint.com/RPO-SLASKIE-SIWZY/_layouts/15/DocIdRedir.aspx?ID=E65TFH6AARHY-508814366-131</Url>
      <Description>E65TFH6AARHY-508814366-131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4C8D-9B0C-4ABE-9FFE-5513851BC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a5ceb-1ca7-4c2c-8f8c-95c19c298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0649E-8DC1-43F7-99FD-FB61C68A78AE}">
  <ds:schemaRefs>
    <ds:schemaRef ds:uri="http://schemas.microsoft.com/office/2006/metadata/properties"/>
    <ds:schemaRef ds:uri="http://schemas.microsoft.com/office/infopath/2007/PartnerControls"/>
    <ds:schemaRef ds:uri="5ffa5ceb-1ca7-4c2c-8f8c-95c19c2989df"/>
  </ds:schemaRefs>
</ds:datastoreItem>
</file>

<file path=customXml/itemProps3.xml><?xml version="1.0" encoding="utf-8"?>
<ds:datastoreItem xmlns:ds="http://schemas.openxmlformats.org/officeDocument/2006/customXml" ds:itemID="{F13B40C8-0AB8-4D3C-8C6A-A8726CB481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C3067E-756E-4A07-B518-63DDD40CE2F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1B6D65F-AFB5-4B4F-81AB-9AB432DC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1857</Words>
  <Characters>11145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admin</cp:lastModifiedBy>
  <cp:revision>10</cp:revision>
  <dcterms:created xsi:type="dcterms:W3CDTF">2016-10-28T08:33:00Z</dcterms:created>
  <dcterms:modified xsi:type="dcterms:W3CDTF">2017-02-10T11:49:00Z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0x010100D333BAA551589944B86FF095F82B6418</vt:lpwstr>
  </property>
  <property fmtid="{D5CDD505-2E9C-101B-9397-08002B2CF9AE}" pid="3" name="_dlc_DocIdItemGuid">
    <vt:lpwstr>fb9aa768-dc59-4893-91da-7d82a46f2ae1</vt:lpwstr>
  </property>
</Properties>
</file>